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8498EE">
      <w:pPr>
        <w:pStyle w:val="14"/>
        <w:rPr>
          <w:rFonts w:ascii="宋体" w:hAnsi="宋体" w:eastAsia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-753110</wp:posOffset>
            </wp:positionH>
            <wp:positionV relativeFrom="paragraph">
              <wp:posOffset>-760730</wp:posOffset>
            </wp:positionV>
            <wp:extent cx="2473325" cy="614045"/>
            <wp:effectExtent l="0" t="0" r="3175" b="8255"/>
            <wp:wrapNone/>
            <wp:docPr id="1" name="图片 1" descr="（新）学校主标识（305高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（新）学校主标识（305高）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73325" cy="614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00" w:themeColor="text1"/>
          <w:sz w:val="1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-594995</wp:posOffset>
                </wp:positionH>
                <wp:positionV relativeFrom="paragraph">
                  <wp:posOffset>1012190</wp:posOffset>
                </wp:positionV>
                <wp:extent cx="6480175" cy="180022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0175" cy="1800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2DFCFE1"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404040" w:themeColor="text1" w:themeTint="BF"/>
                                <w:sz w:val="64"/>
                                <w:szCs w:val="6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404040" w:themeColor="text1" w:themeTint="BF"/>
                                <w:sz w:val="64"/>
                                <w:szCs w:val="6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中智讯（武汉）科技有限公司</w:t>
                            </w:r>
                          </w:p>
                          <w:p w14:paraId="3B180406"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404040" w:themeColor="text1" w:themeTint="BF"/>
                                <w:sz w:val="72"/>
                                <w:szCs w:val="7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404040" w:themeColor="text1" w:themeTint="BF"/>
                                <w:spacing w:val="113"/>
                                <w:w w:val="100"/>
                                <w:sz w:val="80"/>
                                <w:szCs w:val="80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企业年报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85pt;margin-top:79.7pt;height:141.75pt;width:510.25pt;z-index:251660288;mso-width-relative:page;mso-height-relative:page;" filled="f" stroked="f" coordsize="21600,21600" o:gfxdata="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E8VcyNwAAAALAQAADwAAAAAAAAABACAA&#10;AAAiAAAAZHJzL2Rvd25yZXYueG1sUEsBAhQAFAAAAAgAh07iQOjq0LhCAgAAdQ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2DFCFE1">
                      <w:pPr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404040" w:themeColor="text1" w:themeTint="BF"/>
                          <w:sz w:val="64"/>
                          <w:szCs w:val="6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404040" w:themeColor="text1" w:themeTint="BF"/>
                          <w:sz w:val="64"/>
                          <w:szCs w:val="6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中智讯（武汉）科技有限公司</w:t>
                      </w:r>
                    </w:p>
                    <w:p w14:paraId="3B180406">
                      <w:pPr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404040" w:themeColor="text1" w:themeTint="BF"/>
                          <w:sz w:val="72"/>
                          <w:szCs w:val="7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404040" w:themeColor="text1" w:themeTint="BF"/>
                          <w:spacing w:val="113"/>
                          <w:w w:val="100"/>
                          <w:sz w:val="80"/>
                          <w:szCs w:val="80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企业年报</w:t>
                      </w:r>
                    </w:p>
                  </w:txbxContent>
                </v:textbox>
              </v:shape>
            </w:pict>
          </mc:Fallback>
        </mc:AlternateContent>
      </w:r>
      <w:bookmarkStart w:id="1" w:name="_GoBack"/>
      <w:bookmarkEnd w:id="1"/>
      <w:r>
        <w:rPr>
          <w:color w:val="000000" w:themeColor="text1"/>
          <w:sz w:val="18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-448945</wp:posOffset>
                </wp:positionH>
                <wp:positionV relativeFrom="paragraph">
                  <wp:posOffset>6170295</wp:posOffset>
                </wp:positionV>
                <wp:extent cx="6480175" cy="3133090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0175" cy="313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E2CE077">
                            <w:pPr>
                              <w:jc w:val="right"/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9FBFA"/>
                                <w:sz w:val="160"/>
                                <w:szCs w:val="16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9FBFA"/>
                                <w:sz w:val="160"/>
                                <w:szCs w:val="160"/>
                              </w:rPr>
                              <w:t>202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9FBFA"/>
                                <w:sz w:val="160"/>
                                <w:szCs w:val="160"/>
                                <w:lang w:val="en-US" w:eastAsia="zh-CN"/>
                              </w:rPr>
                              <w:t>4</w:t>
                            </w:r>
                          </w:p>
                          <w:p w14:paraId="6A132A35"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9FBFA"/>
                                <w:sz w:val="28"/>
                                <w:szCs w:val="28"/>
                              </w:rPr>
                            </w:pPr>
                          </w:p>
                          <w:p w14:paraId="21DA120C"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9FBF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9FBFA"/>
                                <w:sz w:val="28"/>
                                <w:szCs w:val="28"/>
                              </w:rPr>
                              <w:t>苏州高博职业学院</w:t>
                            </w:r>
                          </w:p>
                          <w:p w14:paraId="702B6110">
                            <w:pPr>
                              <w:jc w:val="center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9FBF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9FBFA"/>
                                <w:sz w:val="28"/>
                                <w:szCs w:val="28"/>
                              </w:rPr>
                              <w:t>二〇二四年十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9FBFA"/>
                                <w:sz w:val="28"/>
                                <w:szCs w:val="28"/>
                                <w:lang w:val="en-US" w:eastAsia="zh-CN"/>
                              </w:rPr>
                              <w:t>二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9FBFA"/>
                                <w:sz w:val="28"/>
                                <w:szCs w:val="28"/>
                              </w:rPr>
                              <w:t>月</w:t>
                            </w:r>
                          </w:p>
                          <w:p w14:paraId="10CE1AA0">
                            <w:pPr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9FBFA"/>
                                <w:sz w:val="24"/>
                                <w:szCs w:val="24"/>
                              </w:rPr>
                            </w:pPr>
                          </w:p>
                          <w:p w14:paraId="7D364FA1">
                            <w:pPr>
                              <w:jc w:val="right"/>
                              <w:rPr>
                                <w:rFonts w:ascii="微软雅黑" w:hAnsi="微软雅黑" w:eastAsia="微软雅黑" w:cs="微软雅黑"/>
                                <w:b/>
                                <w:bCs/>
                                <w:color w:val="F9FBFA"/>
                                <w:sz w:val="160"/>
                                <w:szCs w:val="16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5.35pt;margin-top:485.85pt;height:246.7pt;width:510.25pt;z-index:251661312;mso-width-relative:page;mso-height-relative:page;" filled="f" stroked="f" coordsize="21600,21600" o:gfxdata="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LSHmzTdAAAADAEAAA8AAAAAAAAA&#10;AQAgAAAAIgAAAGRycy9kb3ducmV2LnhtbFBLAQIUABQAAAAIAIdO4kDzd5HhRQIAAHcEAAAOAAAA&#10;AAAAAAEAIAAAACw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E2CE077">
                      <w:pPr>
                        <w:jc w:val="right"/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9FBFA"/>
                          <w:sz w:val="160"/>
                          <w:szCs w:val="160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9FBFA"/>
                          <w:sz w:val="160"/>
                          <w:szCs w:val="160"/>
                        </w:rPr>
                        <w:t>202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9FBFA"/>
                          <w:sz w:val="160"/>
                          <w:szCs w:val="160"/>
                          <w:lang w:val="en-US" w:eastAsia="zh-CN"/>
                        </w:rPr>
                        <w:t>4</w:t>
                      </w:r>
                    </w:p>
                    <w:p w14:paraId="6A132A35">
                      <w:pPr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F9FBFA"/>
                          <w:sz w:val="28"/>
                          <w:szCs w:val="28"/>
                        </w:rPr>
                      </w:pPr>
                    </w:p>
                    <w:p w14:paraId="21DA120C">
                      <w:pPr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F9FBF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9FBFA"/>
                          <w:sz w:val="28"/>
                          <w:szCs w:val="28"/>
                        </w:rPr>
                        <w:t>苏州高博职业学院</w:t>
                      </w:r>
                    </w:p>
                    <w:p w14:paraId="702B6110">
                      <w:pPr>
                        <w:jc w:val="center"/>
                        <w:rPr>
                          <w:rFonts w:ascii="微软雅黑" w:hAnsi="微软雅黑" w:eastAsia="微软雅黑" w:cs="微软雅黑"/>
                          <w:b/>
                          <w:bCs/>
                          <w:color w:val="F9FBF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9FBFA"/>
                          <w:sz w:val="28"/>
                          <w:szCs w:val="28"/>
                        </w:rPr>
                        <w:t>二〇二四年十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9FBFA"/>
                          <w:sz w:val="28"/>
                          <w:szCs w:val="28"/>
                          <w:lang w:val="en-US" w:eastAsia="zh-CN"/>
                        </w:rPr>
                        <w:t>二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9FBFA"/>
                          <w:sz w:val="28"/>
                          <w:szCs w:val="28"/>
                        </w:rPr>
                        <w:t>月</w:t>
                      </w:r>
                    </w:p>
                    <w:p w14:paraId="10CE1AA0">
                      <w:pPr>
                        <w:rPr>
                          <w:rFonts w:ascii="微软雅黑" w:hAnsi="微软雅黑" w:eastAsia="微软雅黑" w:cs="微软雅黑"/>
                          <w:b/>
                          <w:bCs/>
                          <w:color w:val="F9FBFA"/>
                          <w:sz w:val="24"/>
                          <w:szCs w:val="24"/>
                        </w:rPr>
                      </w:pPr>
                    </w:p>
                    <w:p w14:paraId="7D364FA1">
                      <w:pPr>
                        <w:jc w:val="right"/>
                        <w:rPr>
                          <w:rFonts w:ascii="微软雅黑" w:hAnsi="微软雅黑" w:eastAsia="微软雅黑" w:cs="微软雅黑"/>
                          <w:b/>
                          <w:bCs/>
                          <w:color w:val="F9FBFA"/>
                          <w:sz w:val="160"/>
                          <w:szCs w:val="16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-1008380</wp:posOffset>
            </wp:positionH>
            <wp:positionV relativeFrom="paragraph">
              <wp:posOffset>-1080135</wp:posOffset>
            </wp:positionV>
            <wp:extent cx="7574280" cy="10714355"/>
            <wp:effectExtent l="0" t="0" r="7620" b="4445"/>
            <wp:wrapNone/>
            <wp:docPr id="24" name="ABU设计" descr="F:\稻壳-阿源设计\H活动供稿\2019-08-08-封面\3-项目计划-10-10\改\9.jpg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ABU设计" descr="F:\稻壳-阿源设计\H活动供稿\2019-08-08-封面\3-项目计划-10-10\改\9.jpg9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74280" cy="1071435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C920C3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64180D3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4D4CC8A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046CBB2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FA79FE6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4FD36C7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148A2B3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598B8B1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7A7B208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ED5DDD2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69F59C5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69A4874">
      <w:pPr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8596E72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D5860BE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2E8EDA5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AF03064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A0261DE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44270D6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02C6CA8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D880A62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E5FB9F7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93D04C8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DD46F4A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A28D464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0EB0B60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549D6C73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3EC091B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F583095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04D745F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42EB851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691DF5C2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1CFBC10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17C59E5">
      <w:pPr>
        <w:ind w:firstLine="422" w:firstLineChars="200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06A48E4A">
      <w:pPr>
        <w:spacing w:line="440" w:lineRule="exact"/>
        <w:ind w:firstLine="562" w:firstLineChars="200"/>
        <w:rPr>
          <w:rFonts w:ascii="仿宋_GB2312" w:hAnsi="仿宋_GB2312" w:eastAsia="仿宋_GB2312" w:cs="仿宋_GB2312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一、企业概况</w:t>
      </w:r>
    </w:p>
    <w:p w14:paraId="5273AA0D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中智讯（武汉）科技有限公司自2013年创立以来，始终聚焦于工科教育解决方案以及高校科研协作领域。公司秉持“质量为先，服务为本”的企业宗旨，坚守“倡导与用户双赢的合作方式”的核心理念，凭借深厚的技术沉淀与丰富的实践经验，构建起一套科学、系统且完善的综合性教育解决方案体系。</w:t>
      </w:r>
    </w:p>
    <w:p w14:paraId="710FDC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公司总部坐落于武汉光谷，战略布局广泛，已在北京、上海、广州、西安、成都等核心城市设立分公司或办事处。依托这一广泛的业务网络，公司得以与各领域的头部企业及创新型企业达成深度战略合作，积累了海量的项目实践经验。基于对各类复杂项目的深入理解，公司制定了详尽且高效的突发事件应急处理预案，确保为客户提供稳定、可靠、全方位的服务。其服务范畴覆盖正式员工、非正式合同工、短期临时工以及实习生等多元群体，满足不同客户的多样化人力资源需求。</w:t>
      </w:r>
    </w:p>
    <w:p w14:paraId="1B5576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与高校的合作实践中，公司积极探索并推行多种创新型合作模式，如共建实训基地、开展工学交替项目、设立企业订单班等。通过这些合作举措，公司不仅为高校实践教学注入了鲜活的企业元素，也为自身及行业前瞻性地培养和储备了大量高素质专业人才，有力地推动了高等职业教育供给侧与企业人才需求侧的精准对接，促进了教育链、人才链与产业链的有机融合。</w:t>
      </w:r>
    </w:p>
    <w:p w14:paraId="5402C475">
      <w:pPr>
        <w:jc w:val="left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00300" cy="168338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58430" cy="1724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955925" cy="16687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7983" cy="1720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F3E6CC">
      <w:pPr>
        <w:ind w:left="2310" w:hanging="2310" w:hangingChars="1100"/>
        <w:jc w:val="left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941320" cy="16573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70736" cy="1674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499360" cy="166497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12079" cy="167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0C87D">
      <w:pPr>
        <w:jc w:val="center"/>
        <w:rPr>
          <w:rFonts w:hint="eastAsia"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图1</w:t>
      </w:r>
      <w:r>
        <w:rPr>
          <w:rFonts w:hint="eastAsia" w:ascii="宋体" w:hAnsi="宋体" w:eastAsia="宋体"/>
          <w:b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中智讯实景图</w:t>
      </w:r>
    </w:p>
    <w:p w14:paraId="57656211">
      <w:pPr>
        <w:jc w:val="center"/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562600" cy="2735580"/>
            <wp:effectExtent l="0" t="0" r="0" b="762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62600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6462E">
      <w:pPr>
        <w:jc w:val="center"/>
        <w:rPr>
          <w:rFonts w:hint="eastAsia"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D0EBB0B">
      <w:pPr>
        <w:jc w:val="center"/>
        <w:rPr>
          <w:rFonts w:ascii="宋体" w:hAnsi="宋体" w:eastAsia="宋体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hint="eastAsia" w:ascii="宋体" w:hAnsi="宋体" w:eastAsia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2：</w:t>
      </w: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中智讯</w:t>
      </w:r>
      <w:r>
        <w:rPr>
          <w:rFonts w:hint="eastAsia" w:ascii="宋体" w:hAnsi="宋体" w:eastAsia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业务</w:t>
      </w: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内容</w:t>
      </w:r>
    </w:p>
    <w:p w14:paraId="45D75386">
      <w:pPr>
        <w:spacing w:line="360" w:lineRule="auto"/>
        <w:ind w:firstLine="562" w:firstLineChars="200"/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二、资源投入</w:t>
      </w:r>
    </w:p>
    <w:p w14:paraId="1D866E5E">
      <w:pPr>
        <w:spacing w:line="360" w:lineRule="auto"/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（一）校内实训基地建设</w:t>
      </w:r>
    </w:p>
    <w:p w14:paraId="6D4ED7F6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中智讯与苏州高博职业学院携手打造工业互联网实训基地。基地配备工业互联网实训台、各类传感器（如温度、光栅、颜色传感器）、控制器、开发软件等设备，模拟真实工业生产环境。能满足工业数据采集、云计算平台搭建、仿真工具开发、生产环境监测等关键岗位技能训练需求，承担《工业互联网技术》《云计算平台搭建》等课程实训任务，助力学生掌握专业技能，提升实践与沟通能力，实现从校园到职场的过渡。</w:t>
      </w:r>
    </w:p>
    <w:p w14:paraId="0723307A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此外，“自动驾驶应用教学平台”和“工业互联网实训平台”进一步丰富实训功能。前者涵盖雷达导航、路径规划等内容，支持多门课程实验实训，采用ROS机器人操作系统，助力学生掌握机械臂操作等核心技术；后者构建完整工业数据采集与控制系统，支持多种工业总线协议实验，结合MES系统开展生产调度实验，提供智云开发环境，满足多门课程实践需求。</w:t>
      </w:r>
    </w:p>
    <w:p w14:paraId="08226A17">
      <w:pPr>
        <w:spacing w:line="360" w:lineRule="auto"/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（二）师资资源投入</w:t>
      </w:r>
    </w:p>
    <w:p w14:paraId="6E108284">
      <w:pPr>
        <w:spacing w:line="360" w:lineRule="auto"/>
        <w:ind w:firstLine="480" w:firstLineChars="200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依据校企合作协议，中智讯选派经验丰富、专业扎实的企业员工承担《工业互联网技术》《云计算平台搭建》等核心课程授课任务，将行业前沿与实践经验融入教学。同时，安排资深专业人员为学校教师开展实训基地设备操作、维护及教学应用培训，提升教师实践教学能力。</w:t>
      </w:r>
      <w:r>
        <w:rPr>
          <w:rFonts w:hint="eastAsia"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t>。</w:t>
      </w:r>
    </w:p>
    <w:p w14:paraId="4C541A44">
      <w:pPr>
        <w:spacing w:line="360" w:lineRule="auto"/>
        <w:ind w:firstLine="562" w:firstLineChars="200"/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三、专项支持</w:t>
      </w:r>
    </w:p>
    <w:p w14:paraId="44C23988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中智讯与苏州高博职业学院携手设立“工业互联网技术创新与人才培养专项支持项目”。该项目投入专项资金，旨在深度推进双方在工业互联网领域的合作。</w:t>
      </w:r>
    </w:p>
    <w:p w14:paraId="4C484E3B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技术创新方面，针对实训基地的设备与技术升级，专项资金助力引进先进的工业互联网传感器、智能控制模块等设备，进一步优化工业互联网实训平台的功能。例如，为工业互联网实训平台新增高精度的工业视觉传感器，使学生在进行工业检测与识别相关实训时，能够获取更精准的数据，提升实践操作的准确性与效率。同时，利用专项资金支持校企双方技术人员共同开展前沿技术研究，聚焦工业互联网数据安全传输、智能运维预测等关键课题，加速科研成果转化，推动实训基地技术水平与行业前沿接轨。</w:t>
      </w:r>
    </w:p>
    <w:p w14:paraId="3B4CF9AC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人才培养层面，专项资金用于设立专项奖学金，激励在工业互联网技术学习和实践中表现优异的学生。依据学生在课程成绩、实训操作能力、项目实践成果等多维度的综合表现，评选出优秀学生给予奖励，激发学生的学习热情与创新活力。此外，专项资金还用于组织学生参加各类工业互联网领域的专业竞赛，为学生提供与其他院校交流切磋的平台，拓宽学生视野，提升学生的专业技能与综合竞争力。同时，针对学校教师开展高端培训项目，邀请行业内知名专家为教师进行前沿技术培训，组织教师前往行业标杆企业参观学习，助力教师提升专业素养，打造一支高水平的师资队伍，为工业互联网技术专业人才培养提供坚实保障。</w:t>
      </w:r>
    </w:p>
    <w:p w14:paraId="43371D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firstLine="562" w:firstLineChars="200"/>
        <w:textAlignment w:val="auto"/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四</w:t>
      </w: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、参与“五金”建设</w:t>
      </w:r>
    </w:p>
    <w:p w14:paraId="53BDE9BC">
      <w:pPr>
        <w:spacing w:line="360" w:lineRule="auto"/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（一）专业建设</w:t>
      </w:r>
    </w:p>
    <w:p w14:paraId="18F6DC73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中智讯深度参与苏州高博职业学院工业互联网技术专业的建设工作，以企业的实际用人需求为导向，紧密结合行业发展的前沿趋势与未来走向，与学校专业团队展开全方位、深层次的合作，共同制定科学合理、与时俱进的专业人才培养方案。</w:t>
      </w:r>
    </w:p>
    <w:p w14:paraId="0C7F20C1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方案制定过程中，公司充分发挥自身在行业内的资源优势与实践经验，深入调研分析工业互联网领域各类岗位的职责要求、技能需求以及职业发展路径，为学校提供了大量源自企业一线的真实需求信息与案例素材。基于这些信息，协助学校对课程体系进行优化设计，精准设置教学内容。例如，针对工业数据采集与分析岗位，围绕数据采集技术、数据分析方法、数据处理工具等核心技能，设置了一系列针对性强、实用性高的课程模块；针对工业互联网平台运维岗位，结合云计算平台搭建、工业互联网安全防护、平台性能优化等关键能力要求，构建了相应的课程模块。通过这种精准对接岗位需求的课程体系设计，确保专业建设与企业需求紧密契合，培养出符合市场需求、具备较强就业竞争力的高素质专业人才。</w:t>
      </w:r>
    </w:p>
    <w:p w14:paraId="31FE024D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实训基地作为专业建设的重要实践支撑平台，为学生提供了与企业实际工作环境高度相似的实践场景。学生在实训基地中，能够借助先进的设备与丰富的项目资源，将课堂所学的理论知识应用于实际操作中，深入理解专业知识在工业互联网领域的具体应用方式，培养解决实际问题的能力与创新思维。同时，通过参与实训项目，学生能够提前熟悉企业的工作流程与团队协作模式，提升职业素养与岗位适应能力，进一步增强专业的市场竞争力与吸引力。</w:t>
      </w:r>
    </w:p>
    <w:p w14:paraId="0FFB743F">
      <w:pPr>
        <w:spacing w:line="360" w:lineRule="auto"/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60320" cy="1920240"/>
            <wp:effectExtent l="0" t="0" r="5080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192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36520" cy="1976120"/>
            <wp:effectExtent l="0" t="0" r="5080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61982" cy="1995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598C3">
      <w:pPr>
        <w:spacing w:line="360" w:lineRule="auto"/>
        <w:jc w:val="center"/>
        <w:rPr>
          <w:rFonts w:hint="eastAsia" w:ascii="宋体" w:hAnsi="宋体" w:eastAsia="宋体"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hint="eastAsia" w:ascii="宋体" w:hAnsi="宋体" w:eastAsia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3：</w:t>
      </w: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工业互联网技术实训基地</w:t>
      </w:r>
    </w:p>
    <w:p w14:paraId="24B111C4">
      <w:pPr>
        <w:spacing w:line="360" w:lineRule="auto"/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（二）课程建设</w:t>
      </w:r>
    </w:p>
    <w:p w14:paraId="7A4D0449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课程建设方面，中智讯与苏州高博职业学院建立了紧密的合作机制，共同致力于提升课程的质量与教学效果。公司选派教学能力突出、实践经验丰富且熟悉行业发展动态的在岗员工，深入学校协助完成专业核心课程的教学任务。这些兼职教师凭借自身在企业项目中的丰富实践经历，将行业内最新的技术创新成果、应用案例以及实际操作经验有机融入教学过程中，使课程内容更具前沿性、实用性与针对性。</w:t>
      </w:r>
    </w:p>
    <w:p w14:paraId="3EA43592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例如，在《工业互联网技术》课程教学中，兼职教师会引入实际工业项目中的工业互联网应用案例，详细讲解项目实施过程中所面临的技术难题、解决方案以及应用效果，让学生深入了解行业最新的技术应用场景与发展趋势；在《人工智能技术》课程中，结合自动驾驶应用教学平台的实际案例，生动讲解人工智能技术在自动驾驶领域的应用原理、算法实现以及实践操作要点，使学生能够直观感受人工智能技术的实际应用价值，有效提升学生的学习兴趣与实践动手能力。通过这些方式，弥补了传统书本知识在时效性与实践性方面的不足，有力地提升了学校实践教学的质量与水平。</w:t>
      </w:r>
    </w:p>
    <w:p w14:paraId="1F638204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实训基地的“自动驾驶应用教学平台”和“工业互联网实训平台”为课程实践教学提供了丰富且优质的资源支撑。自动驾驶平台凭借其先进的技术架构与丰富的应用案例，全方位支持多门课程的实验实训教学，让学生在实践中深入掌握人工智能、机器视觉、机器人控制等前沿技术的应用技能；工业互联网平台则构建了一个完整的工业数据采集与控制系统，涵盖多种工业应用场景，满足工业环境监测、生产管控等课程的实践教学需求，助力学生将理论知识高效转化为实际操作能力，实现学以致用的教学目标。</w:t>
      </w:r>
    </w:p>
    <w:p w14:paraId="413EC2AD">
      <w:pPr>
        <w:spacing w:line="360" w:lineRule="auto"/>
        <w:ind w:left="210" w:leftChars="100" w:firstLine="210" w:firstLineChars="100"/>
        <w:jc w:val="left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20010" cy="1965960"/>
            <wp:effectExtent l="0" t="0" r="889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6687" cy="1978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06040" cy="1955165"/>
            <wp:effectExtent l="0" t="0" r="1016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86513" cy="2015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DCC59">
      <w:pPr>
        <w:spacing w:line="360" w:lineRule="auto"/>
        <w:ind w:left="210" w:leftChars="100" w:firstLine="210" w:firstLineChars="100"/>
        <w:jc w:val="left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620010" cy="1965325"/>
            <wp:effectExtent l="0" t="0" r="8890" b="317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70834" cy="200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598420" cy="1949450"/>
            <wp:effectExtent l="0" t="0" r="5080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17499" cy="1963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CFC889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hint="eastAsia" w:ascii="宋体" w:hAnsi="宋体" w:eastAsia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4：</w:t>
      </w: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自动驾驶应用教学平台</w:t>
      </w:r>
    </w:p>
    <w:p w14:paraId="26C522E4">
      <w:pPr>
        <w:spacing w:line="360" w:lineRule="auto"/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（三）教材建设</w:t>
      </w:r>
    </w:p>
    <w:p w14:paraId="40D85B90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为满足工业互联网技术专业日益增长的教学需求，中智讯与苏州高博职业学院积极开展深度合作，共同推进工业互联网技术核心课程的系列教材编写工作。目前，已成功完成《工业互联网数据采集与应用》和《工业互联网互联基础与实践》两本专业教材的编写任务。</w:t>
      </w:r>
    </w:p>
    <w:p w14:paraId="3DD194D4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教材编写过程中，充分发挥校内工业互联网实训平台的独特优势，将设备操作、数据采集、网络互联等实践环节的内容深度融入教材体系中。企业技术专家和兼职教师依据实训平台的技术特点、应用场景以及实际项目经验，为教材提供了丰富多样的实践案例、操作指导以及技术解读，使教材内容不仅涵盖工业互联网领域的核心理论知识，还紧密结合感知设备、执行机构、传感网络、云平台等实训设备的具体应用，实现了理论学习与实践操作的有机融合与无缝对接。此外，教材还充分结合自动驾驶应用教学平台的相关内容，适时纳入人工智能、机器视觉等新兴技术领域的前沿知识点，全面体现了专业建设与产业发展的深度融合趋势，确保教材内容的先进性与实用性。</w:t>
      </w:r>
    </w:p>
    <w:p w14:paraId="790B03D2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这种依托实训平台开发教材的创新模式，既保证了教材内容的专业性与深度，又极大地提升了教材的实践指导价值。学生通过学习教材，能够系统掌握实训设备的操作方法、应用技巧以及相关理论知识，为未来的职业发展奠定坚实的知识与技能基础。</w:t>
      </w:r>
    </w:p>
    <w:p w14:paraId="15923486">
      <w:pPr>
        <w:spacing w:line="360" w:lineRule="auto"/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（四）师资建设</w:t>
      </w:r>
    </w:p>
    <w:p w14:paraId="68DD6301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师资建设方面，中智讯积极发挥企业在行业实践经验与专业技术方面的优势，全力协助苏州高博职业学院打造一支高素质、专业化的教师队伍。公司选派实践经验丰富、专业技能精湛的企业员工担任兼职教师，承担部分专业核心课程的教学任务。这些兼职教师将企业的实际工作经验、行业最新技术动态以及职业素养要求引入课堂教学，为学校教学注入了鲜活的企业元素，丰富了教学内容，拓宽了学生的视野。</w:t>
      </w:r>
    </w:p>
    <w:p w14:paraId="04DBD489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同时，公司安排专业技术骨干前往学校，为学校教师开展设备操作与实践教学培训，帮助学校教师熟练掌握实训基地设备的使用方法、维护要点以及基于设备的教学应用设计，有效提升教师的实践教学能力。此外，中智讯还计划进一步深化与学校的合作，为学校教师提供到企业实践学习的机会，让教师深入企业生产一线，参与实际项目的开发与实施，全面了解企业的实际生产流程、技术应用现状以及行业发展趋势，将企业实践经验深度融入日常教学中，促进学校“双师型”教师队伍的高质量建设，提升学校整体的教学水平与人才培养质量。</w:t>
      </w:r>
    </w:p>
    <w:p w14:paraId="00F17A8C">
      <w:pPr>
        <w:spacing w:line="360" w:lineRule="auto"/>
        <w:jc w:val="center"/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753360" cy="2065020"/>
            <wp:effectExtent l="0" t="0" r="2540" b="50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3360" cy="206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2722880" cy="2042160"/>
            <wp:effectExtent l="0" t="0" r="7620" b="254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2880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215A5A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hint="eastAsia" w:ascii="宋体" w:hAnsi="宋体" w:eastAsia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5：</w:t>
      </w: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工业互联网设备使用培训</w:t>
      </w:r>
    </w:p>
    <w:p w14:paraId="78072FB8">
      <w:pPr>
        <w:spacing w:line="360" w:lineRule="auto"/>
        <w:ind w:firstLine="420" w:firstLineChars="200"/>
        <w:jc w:val="center"/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4975860" cy="3100070"/>
            <wp:effectExtent l="0" t="0" r="2540" b="1143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7305" cy="3101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BC4F4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图</w:t>
      </w:r>
      <w:r>
        <w:rPr>
          <w:rFonts w:hint="eastAsia" w:ascii="宋体" w:hAnsi="宋体" w:eastAsia="宋体"/>
          <w:b/>
          <w:bCs/>
          <w:color w:val="000000" w:themeColor="text1"/>
          <w:szCs w:val="21"/>
          <w:lang w:val="en-US" w:eastAsia="zh-CN"/>
          <w14:textFill>
            <w14:solidFill>
              <w14:schemeClr w14:val="tx1"/>
            </w14:solidFill>
          </w14:textFill>
        </w:rPr>
        <w:t>6：</w:t>
      </w:r>
      <w:r>
        <w:rPr>
          <w:rFonts w:hint="eastAsia"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  <w:t>企业导师授课中</w:t>
      </w:r>
    </w:p>
    <w:p w14:paraId="050B233D">
      <w:pPr>
        <w:spacing w:line="360" w:lineRule="auto"/>
        <w:ind w:firstLine="482" w:firstLineChars="200"/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/>
          <w:bCs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（五）实训实习建设</w:t>
      </w:r>
    </w:p>
    <w:p w14:paraId="209561AC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中智讯与苏州高博职业学院合作建设的工业互联网实训基地，为学生提供了一个高度仿真、功能完备的实训环境。实训基地严格按照工业制造业企业的实际生产场景进行设计与搭建，配备了先进的设备、完善的教学资源以及专业的指导教师团队，学生可以在基地内开展各类专业技能的实训操作，实现从理论知识到实践技能的有效转化。</w:t>
      </w:r>
    </w:p>
    <w:p w14:paraId="06B601DA">
      <w:pPr>
        <w:spacing w:line="360" w:lineRule="auto"/>
        <w:ind w:firstLine="480" w:firstLineChars="200"/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在实习环节，公司积极整合自身在行业内的资源，为学生提供丰富多样的校外实践岗位，涵盖数据采集、大数据、移动应用、人工智能等多个热门专业领域。公司组织学生开展针对性的强化训练，帮助学生全面了解实习岗位的工作内容、技能要求以及职业规范，确保学生能够顺利适应实习岗位的工作节奏与要求。在学生实习期间，公司与学校建立了紧密的沟通协作机制，积极配合学校对学生的在岗表现进行跟踪管理，定期反馈学生的实习情况，为学生提供专业的指导与建议，助力学生在实习过程中不断提升自身的专业技能与职业素养，为未来的职业发展做好充分准备。</w:t>
      </w:r>
    </w:p>
    <w:p w14:paraId="641173D3">
      <w:pPr>
        <w:spacing w:line="360" w:lineRule="auto"/>
        <w:ind w:firstLine="562" w:firstLineChars="200"/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五</w:t>
      </w:r>
      <w:r>
        <w:rPr>
          <w:rFonts w:hint="eastAsia" w:ascii="黑体" w:hAnsi="黑体" w:eastAsia="黑体" w:cs="黑体"/>
          <w:b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、助力合作院校随企出海等方面的做法、成效和问题</w:t>
      </w:r>
    </w:p>
    <w:p w14:paraId="35BFFD88">
      <w:pPr>
        <w:spacing w:line="360" w:lineRule="auto"/>
        <w:ind w:firstLine="480" w:firstLineChars="200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i w:val="0"/>
          <w:iCs w:val="0"/>
          <w:caps w:val="0"/>
          <w:color w:val="000000" w:themeColor="text1"/>
          <w:spacing w:val="0"/>
          <w:sz w:val="24"/>
          <w:szCs w:val="24"/>
          <w:shd w:val="clear" w:fill="FFFFFF"/>
          <w:lang w:val="en-US" w:eastAsia="zh-CN"/>
          <w14:textFill>
            <w14:solidFill>
              <w14:schemeClr w14:val="tx1"/>
            </w14:solidFill>
          </w14:textFill>
        </w:rPr>
        <w:t>随着公司业务拓展与国际市场布局推进，未来计划探索相关路径。公司将关注国际市场对工业互联网技术人才需求，结合学院专业设置与人才培养目标，共同制定国际化人才培养方案，引入国际教学理念、课程体系与方法，强化学生英语与跨文化交流能力培养。利用国际合作资源，为学生搭建海外实习与交流平台，组织参与国际项目，提升学生国际竞争力。但推进过程中面临国际法规政策与文化差异大、项目成本高、与现有教学体系融合难等问题。公司将与学校建立沟通机制，组建研究团队，制定解决方案，推动相关工作开展。</w:t>
      </w:r>
    </w:p>
    <w:p w14:paraId="57113BBB">
      <w:pPr>
        <w:spacing w:line="360" w:lineRule="auto"/>
        <w:ind w:left="210" w:leftChars="100" w:firstLine="210" w:firstLineChars="100"/>
        <w:jc w:val="left"/>
        <w:rPr>
          <w:rFonts w:hint="eastAsia" w:ascii="宋体" w:hAnsi="宋体" w:eastAsia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</w:p>
    <w:p w14:paraId="4C947D24">
      <w:pPr>
        <w:spacing w:line="360" w:lineRule="auto"/>
        <w:ind w:left="210" w:leftChars="100" w:firstLine="210" w:firstLineChars="100"/>
        <w:jc w:val="left"/>
        <w:rPr>
          <w:rFonts w:hint="eastAsia" w:ascii="宋体" w:hAnsi="宋体" w:eastAsia="宋体"/>
          <w:color w:val="000000" w:themeColor="text1"/>
          <w:szCs w:val="21"/>
          <w:lang w:eastAsia="zh-CN"/>
          <w14:textFill>
            <w14:solidFill>
              <w14:schemeClr w14:val="tx1"/>
            </w14:solidFill>
          </w14:textFill>
        </w:rPr>
      </w:pPr>
    </w:p>
    <w:p w14:paraId="695F7F64">
      <w:pPr>
        <w:spacing w:line="360" w:lineRule="auto"/>
        <w:ind w:left="210" w:leftChars="100" w:firstLine="210" w:firstLineChars="100"/>
        <w:jc w:val="left"/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29199D1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bookmarkStart w:id="0" w:name="_Hlk119851983"/>
    </w:p>
    <w:p w14:paraId="19C74C5A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394CEB38">
      <w:pPr>
        <w:spacing w:line="440" w:lineRule="exact"/>
        <w:ind w:firstLine="420" w:firstLineChars="200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43FEDC84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bookmarkEnd w:id="0"/>
    <w:p w14:paraId="59D8B32F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1B784417">
      <w:pPr>
        <w:spacing w:line="440" w:lineRule="exact"/>
        <w:ind w:firstLine="420" w:firstLineChars="200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BB0F53B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6A51B76">
      <w:pPr>
        <w:spacing w:line="360" w:lineRule="auto"/>
        <w:ind w:firstLine="420" w:firstLineChars="200"/>
        <w:rPr>
          <w:rFonts w:ascii="仿宋_GB2312" w:hAnsi="仿宋_GB2312" w:eastAsia="仿宋_GB2312" w:cs="仿宋_GB2312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DA9B70A">
      <w:pPr>
        <w:spacing w:line="360" w:lineRule="auto"/>
        <w:jc w:val="center"/>
        <w:rPr>
          <w:rFonts w:ascii="宋体" w:hAnsi="宋体" w:eastAsia="宋体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725819D7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p w14:paraId="266D8840">
      <w:pPr>
        <w:spacing w:line="360" w:lineRule="auto"/>
        <w:ind w:firstLine="422" w:firstLineChars="200"/>
        <w:jc w:val="center"/>
        <w:rPr>
          <w:rFonts w:ascii="宋体" w:hAnsi="宋体" w:eastAsia="宋体"/>
          <w:b/>
          <w:bCs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sectPr>
      <w:pgSz w:w="11906" w:h="16838"/>
      <w:pgMar w:top="1587" w:right="1474" w:bottom="1587" w:left="158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QyMTZjNmZmNDc3MTgwZGQ5ODNjNDU4YTA4ODUzNjUifQ=="/>
  </w:docVars>
  <w:rsids>
    <w:rsidRoot w:val="00242850"/>
    <w:rsid w:val="00013C20"/>
    <w:rsid w:val="00016E8B"/>
    <w:rsid w:val="000222E3"/>
    <w:rsid w:val="0005266D"/>
    <w:rsid w:val="00054E89"/>
    <w:rsid w:val="000552E1"/>
    <w:rsid w:val="00063631"/>
    <w:rsid w:val="00064A8E"/>
    <w:rsid w:val="0007431C"/>
    <w:rsid w:val="000768CA"/>
    <w:rsid w:val="00091D2B"/>
    <w:rsid w:val="00096662"/>
    <w:rsid w:val="000A2C0A"/>
    <w:rsid w:val="000A5A80"/>
    <w:rsid w:val="000B25A1"/>
    <w:rsid w:val="000B7A06"/>
    <w:rsid w:val="000C4652"/>
    <w:rsid w:val="000D61CE"/>
    <w:rsid w:val="000E1772"/>
    <w:rsid w:val="000F2203"/>
    <w:rsid w:val="000F4D85"/>
    <w:rsid w:val="000F4D89"/>
    <w:rsid w:val="00137C82"/>
    <w:rsid w:val="0014492D"/>
    <w:rsid w:val="00144A09"/>
    <w:rsid w:val="001500C2"/>
    <w:rsid w:val="00157458"/>
    <w:rsid w:val="001574AD"/>
    <w:rsid w:val="001717C5"/>
    <w:rsid w:val="001756FB"/>
    <w:rsid w:val="001757DF"/>
    <w:rsid w:val="001B5E44"/>
    <w:rsid w:val="001B76F7"/>
    <w:rsid w:val="001C4089"/>
    <w:rsid w:val="001D7013"/>
    <w:rsid w:val="001F71B0"/>
    <w:rsid w:val="00201BFE"/>
    <w:rsid w:val="00220F2C"/>
    <w:rsid w:val="00242850"/>
    <w:rsid w:val="0026203D"/>
    <w:rsid w:val="00262949"/>
    <w:rsid w:val="00286DA4"/>
    <w:rsid w:val="002921A6"/>
    <w:rsid w:val="002923B5"/>
    <w:rsid w:val="002B75CF"/>
    <w:rsid w:val="002C47E0"/>
    <w:rsid w:val="002C74B8"/>
    <w:rsid w:val="002D63D2"/>
    <w:rsid w:val="002F75D0"/>
    <w:rsid w:val="0030223B"/>
    <w:rsid w:val="00305EB3"/>
    <w:rsid w:val="00316523"/>
    <w:rsid w:val="00336E11"/>
    <w:rsid w:val="00347997"/>
    <w:rsid w:val="00355F93"/>
    <w:rsid w:val="00374C56"/>
    <w:rsid w:val="00375927"/>
    <w:rsid w:val="00383080"/>
    <w:rsid w:val="00390472"/>
    <w:rsid w:val="00394A5A"/>
    <w:rsid w:val="003A5F04"/>
    <w:rsid w:val="003C0B6D"/>
    <w:rsid w:val="003D1BB2"/>
    <w:rsid w:val="003D762A"/>
    <w:rsid w:val="003E0F15"/>
    <w:rsid w:val="003E2B00"/>
    <w:rsid w:val="003E38EC"/>
    <w:rsid w:val="003E7D71"/>
    <w:rsid w:val="004047B2"/>
    <w:rsid w:val="00410C33"/>
    <w:rsid w:val="00410FAA"/>
    <w:rsid w:val="0041107A"/>
    <w:rsid w:val="0043641C"/>
    <w:rsid w:val="004404F6"/>
    <w:rsid w:val="00451E29"/>
    <w:rsid w:val="00491CC1"/>
    <w:rsid w:val="00497D0D"/>
    <w:rsid w:val="004B0E88"/>
    <w:rsid w:val="004C2C69"/>
    <w:rsid w:val="004C36DA"/>
    <w:rsid w:val="004D2CC2"/>
    <w:rsid w:val="004F01B1"/>
    <w:rsid w:val="004F35F6"/>
    <w:rsid w:val="004F507C"/>
    <w:rsid w:val="00536D2A"/>
    <w:rsid w:val="00563469"/>
    <w:rsid w:val="005642CC"/>
    <w:rsid w:val="00572B88"/>
    <w:rsid w:val="00574DE5"/>
    <w:rsid w:val="00587980"/>
    <w:rsid w:val="00592E9B"/>
    <w:rsid w:val="005A1D54"/>
    <w:rsid w:val="005A72C0"/>
    <w:rsid w:val="005B11B1"/>
    <w:rsid w:val="005B17C1"/>
    <w:rsid w:val="005B2EB9"/>
    <w:rsid w:val="005C6574"/>
    <w:rsid w:val="005D259D"/>
    <w:rsid w:val="005E574A"/>
    <w:rsid w:val="005E6A8C"/>
    <w:rsid w:val="00602F64"/>
    <w:rsid w:val="00613993"/>
    <w:rsid w:val="00634B60"/>
    <w:rsid w:val="00651D90"/>
    <w:rsid w:val="00654D9A"/>
    <w:rsid w:val="00656C2D"/>
    <w:rsid w:val="0066323F"/>
    <w:rsid w:val="00664AD1"/>
    <w:rsid w:val="0067160A"/>
    <w:rsid w:val="006744BB"/>
    <w:rsid w:val="0068616D"/>
    <w:rsid w:val="00695974"/>
    <w:rsid w:val="0069623D"/>
    <w:rsid w:val="0069661D"/>
    <w:rsid w:val="006968C2"/>
    <w:rsid w:val="006A07FA"/>
    <w:rsid w:val="006A08F9"/>
    <w:rsid w:val="006A7F62"/>
    <w:rsid w:val="006F4D46"/>
    <w:rsid w:val="006F6D08"/>
    <w:rsid w:val="00711169"/>
    <w:rsid w:val="00747222"/>
    <w:rsid w:val="00752B0F"/>
    <w:rsid w:val="00777227"/>
    <w:rsid w:val="00790473"/>
    <w:rsid w:val="007A25F5"/>
    <w:rsid w:val="007B69AC"/>
    <w:rsid w:val="007C7468"/>
    <w:rsid w:val="007E54F6"/>
    <w:rsid w:val="00803C4D"/>
    <w:rsid w:val="00803D7F"/>
    <w:rsid w:val="00811859"/>
    <w:rsid w:val="00823DBE"/>
    <w:rsid w:val="0085301A"/>
    <w:rsid w:val="00861861"/>
    <w:rsid w:val="00875F18"/>
    <w:rsid w:val="008903CD"/>
    <w:rsid w:val="008A348A"/>
    <w:rsid w:val="008B3B30"/>
    <w:rsid w:val="008C33C6"/>
    <w:rsid w:val="008C3BCE"/>
    <w:rsid w:val="008D10CE"/>
    <w:rsid w:val="008E4D2C"/>
    <w:rsid w:val="008E5A99"/>
    <w:rsid w:val="00913F7F"/>
    <w:rsid w:val="00916AA3"/>
    <w:rsid w:val="00917E98"/>
    <w:rsid w:val="00942AAC"/>
    <w:rsid w:val="00961C69"/>
    <w:rsid w:val="00965FCF"/>
    <w:rsid w:val="00971231"/>
    <w:rsid w:val="009749FE"/>
    <w:rsid w:val="00993A14"/>
    <w:rsid w:val="009A1830"/>
    <w:rsid w:val="009B404F"/>
    <w:rsid w:val="009B4C18"/>
    <w:rsid w:val="009B52BD"/>
    <w:rsid w:val="009C61FD"/>
    <w:rsid w:val="009D0A9A"/>
    <w:rsid w:val="009D646E"/>
    <w:rsid w:val="009E1045"/>
    <w:rsid w:val="00A258E9"/>
    <w:rsid w:val="00A3017F"/>
    <w:rsid w:val="00A34BCA"/>
    <w:rsid w:val="00A44CB6"/>
    <w:rsid w:val="00A60A12"/>
    <w:rsid w:val="00A63C64"/>
    <w:rsid w:val="00A64981"/>
    <w:rsid w:val="00A76CFF"/>
    <w:rsid w:val="00A86552"/>
    <w:rsid w:val="00A90623"/>
    <w:rsid w:val="00AA4875"/>
    <w:rsid w:val="00AB6573"/>
    <w:rsid w:val="00AC4805"/>
    <w:rsid w:val="00AC490E"/>
    <w:rsid w:val="00AC4F30"/>
    <w:rsid w:val="00AE01AC"/>
    <w:rsid w:val="00B054D5"/>
    <w:rsid w:val="00B240B1"/>
    <w:rsid w:val="00B65F37"/>
    <w:rsid w:val="00B74801"/>
    <w:rsid w:val="00B75762"/>
    <w:rsid w:val="00B872F7"/>
    <w:rsid w:val="00B9495E"/>
    <w:rsid w:val="00BA038B"/>
    <w:rsid w:val="00BA45A9"/>
    <w:rsid w:val="00BA4963"/>
    <w:rsid w:val="00BA63D8"/>
    <w:rsid w:val="00BC0793"/>
    <w:rsid w:val="00BD0C1D"/>
    <w:rsid w:val="00BD6F3D"/>
    <w:rsid w:val="00BF3051"/>
    <w:rsid w:val="00BF3785"/>
    <w:rsid w:val="00BF782D"/>
    <w:rsid w:val="00C04878"/>
    <w:rsid w:val="00C37286"/>
    <w:rsid w:val="00C444E0"/>
    <w:rsid w:val="00C52036"/>
    <w:rsid w:val="00C52992"/>
    <w:rsid w:val="00C62601"/>
    <w:rsid w:val="00C65C02"/>
    <w:rsid w:val="00C66E33"/>
    <w:rsid w:val="00C828AA"/>
    <w:rsid w:val="00C93003"/>
    <w:rsid w:val="00C94B7E"/>
    <w:rsid w:val="00CA5BF9"/>
    <w:rsid w:val="00CA6045"/>
    <w:rsid w:val="00CB0971"/>
    <w:rsid w:val="00CC0B02"/>
    <w:rsid w:val="00CD63DE"/>
    <w:rsid w:val="00CF60E3"/>
    <w:rsid w:val="00D063F1"/>
    <w:rsid w:val="00D11AC6"/>
    <w:rsid w:val="00D164C3"/>
    <w:rsid w:val="00D30E9F"/>
    <w:rsid w:val="00D3456A"/>
    <w:rsid w:val="00D5044B"/>
    <w:rsid w:val="00D508D6"/>
    <w:rsid w:val="00D56EE7"/>
    <w:rsid w:val="00D57388"/>
    <w:rsid w:val="00D62CA5"/>
    <w:rsid w:val="00D64CAD"/>
    <w:rsid w:val="00D64F1A"/>
    <w:rsid w:val="00D92A62"/>
    <w:rsid w:val="00DA351A"/>
    <w:rsid w:val="00DA6540"/>
    <w:rsid w:val="00DB0A88"/>
    <w:rsid w:val="00DB4AD1"/>
    <w:rsid w:val="00DD0DE8"/>
    <w:rsid w:val="00DD4041"/>
    <w:rsid w:val="00DE6D24"/>
    <w:rsid w:val="00DF0259"/>
    <w:rsid w:val="00DF6AE9"/>
    <w:rsid w:val="00E20486"/>
    <w:rsid w:val="00E22D4B"/>
    <w:rsid w:val="00E269B9"/>
    <w:rsid w:val="00E30A4A"/>
    <w:rsid w:val="00E30CE3"/>
    <w:rsid w:val="00E30D55"/>
    <w:rsid w:val="00E500C4"/>
    <w:rsid w:val="00E538F0"/>
    <w:rsid w:val="00E5399A"/>
    <w:rsid w:val="00E704A1"/>
    <w:rsid w:val="00E82458"/>
    <w:rsid w:val="00E86B16"/>
    <w:rsid w:val="00E915C2"/>
    <w:rsid w:val="00EA45D9"/>
    <w:rsid w:val="00EA4D6F"/>
    <w:rsid w:val="00EA729F"/>
    <w:rsid w:val="00EC4F94"/>
    <w:rsid w:val="00ED0E85"/>
    <w:rsid w:val="00ED2959"/>
    <w:rsid w:val="00EE45CB"/>
    <w:rsid w:val="00EF6847"/>
    <w:rsid w:val="00EF6D75"/>
    <w:rsid w:val="00F157E8"/>
    <w:rsid w:val="00F302F9"/>
    <w:rsid w:val="00F40BDF"/>
    <w:rsid w:val="00F4297E"/>
    <w:rsid w:val="00F45B4D"/>
    <w:rsid w:val="00F5010D"/>
    <w:rsid w:val="00F52075"/>
    <w:rsid w:val="00F52725"/>
    <w:rsid w:val="00F74DDB"/>
    <w:rsid w:val="00F75C57"/>
    <w:rsid w:val="00F81A34"/>
    <w:rsid w:val="00FC4CD9"/>
    <w:rsid w:val="00FD4AA5"/>
    <w:rsid w:val="00FE5DD8"/>
    <w:rsid w:val="00FF1889"/>
    <w:rsid w:val="02B6712B"/>
    <w:rsid w:val="07FC2703"/>
    <w:rsid w:val="09253F4C"/>
    <w:rsid w:val="0AD81455"/>
    <w:rsid w:val="1C6D5FB1"/>
    <w:rsid w:val="20654B12"/>
    <w:rsid w:val="28AD0A35"/>
    <w:rsid w:val="2AD94AB1"/>
    <w:rsid w:val="2F9D19FE"/>
    <w:rsid w:val="3014746B"/>
    <w:rsid w:val="38F8669B"/>
    <w:rsid w:val="39551D3F"/>
    <w:rsid w:val="3A3556CD"/>
    <w:rsid w:val="45442C68"/>
    <w:rsid w:val="5FC45C0D"/>
    <w:rsid w:val="60172FFB"/>
    <w:rsid w:val="77147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iPriority="2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iPriority="3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5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Subtitle"/>
    <w:basedOn w:val="1"/>
    <w:link w:val="13"/>
    <w:unhideWhenUsed/>
    <w:qFormat/>
    <w:uiPriority w:val="3"/>
    <w:pPr>
      <w:widowControl/>
      <w:spacing w:before="300" w:after="40" w:line="264" w:lineRule="auto"/>
      <w:contextualSpacing/>
      <w:jc w:val="center"/>
    </w:pPr>
    <w:rPr>
      <w:rFonts w:asciiTheme="majorHAnsi" w:hAnsiTheme="majorHAnsi" w:eastAsiaTheme="majorEastAsia" w:cstheme="majorBidi"/>
      <w:caps/>
      <w:color w:val="44546A" w:themeColor="text2"/>
      <w:kern w:val="0"/>
      <w:sz w:val="26"/>
      <w:szCs w:val="26"/>
      <w14:textFill>
        <w14:solidFill>
          <w14:schemeClr w14:val="tx2"/>
        </w14:solidFill>
      </w14:textFill>
    </w:rPr>
  </w:style>
  <w:style w:type="paragraph" w:styleId="6">
    <w:name w:val="Title"/>
    <w:basedOn w:val="1"/>
    <w:link w:val="12"/>
    <w:unhideWhenUsed/>
    <w:qFormat/>
    <w:uiPriority w:val="2"/>
    <w:pPr>
      <w:widowControl/>
      <w:spacing w:before="440" w:after="40"/>
      <w:contextualSpacing/>
      <w:jc w:val="center"/>
    </w:pPr>
    <w:rPr>
      <w:rFonts w:asciiTheme="majorHAnsi" w:hAnsiTheme="majorHAnsi" w:eastAsiaTheme="majorEastAsia" w:cstheme="majorBidi"/>
      <w:color w:val="5B9BD5" w:themeColor="accent1"/>
      <w:kern w:val="28"/>
      <w:sz w:val="60"/>
      <w:szCs w:val="60"/>
      <w14:textFill>
        <w14:solidFill>
          <w14:schemeClr w14:val="accent1"/>
        </w14:solidFill>
      </w14:textFill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页眉 字符"/>
    <w:basedOn w:val="8"/>
    <w:link w:val="4"/>
    <w:qFormat/>
    <w:uiPriority w:val="99"/>
    <w:rPr>
      <w:sz w:val="18"/>
      <w:szCs w:val="18"/>
    </w:rPr>
  </w:style>
  <w:style w:type="character" w:customStyle="1" w:styleId="11">
    <w:name w:val="页脚 字符"/>
    <w:basedOn w:val="8"/>
    <w:link w:val="3"/>
    <w:qFormat/>
    <w:uiPriority w:val="99"/>
    <w:rPr>
      <w:sz w:val="18"/>
      <w:szCs w:val="18"/>
    </w:rPr>
  </w:style>
  <w:style w:type="character" w:customStyle="1" w:styleId="12">
    <w:name w:val="标题 字符"/>
    <w:basedOn w:val="8"/>
    <w:link w:val="6"/>
    <w:qFormat/>
    <w:uiPriority w:val="2"/>
    <w:rPr>
      <w:rFonts w:asciiTheme="majorHAnsi" w:hAnsiTheme="majorHAnsi" w:eastAsiaTheme="majorEastAsia" w:cstheme="majorBidi"/>
      <w:color w:val="5B9BD5" w:themeColor="accent1"/>
      <w:kern w:val="28"/>
      <w:sz w:val="60"/>
      <w:szCs w:val="60"/>
      <w14:textFill>
        <w14:solidFill>
          <w14:schemeClr w14:val="accent1"/>
        </w14:solidFill>
      </w14:textFill>
    </w:rPr>
  </w:style>
  <w:style w:type="character" w:customStyle="1" w:styleId="13">
    <w:name w:val="副标题 字符"/>
    <w:basedOn w:val="8"/>
    <w:link w:val="5"/>
    <w:qFormat/>
    <w:uiPriority w:val="3"/>
    <w:rPr>
      <w:rFonts w:asciiTheme="majorHAnsi" w:hAnsiTheme="majorHAnsi" w:eastAsiaTheme="majorEastAsia" w:cstheme="majorBidi"/>
      <w:caps/>
      <w:color w:val="44546A" w:themeColor="text2"/>
      <w:kern w:val="0"/>
      <w:sz w:val="26"/>
      <w:szCs w:val="26"/>
      <w14:textFill>
        <w14:solidFill>
          <w14:schemeClr w14:val="tx2"/>
        </w14:solidFill>
      </w14:textFill>
    </w:rPr>
  </w:style>
  <w:style w:type="paragraph" w:customStyle="1" w:styleId="14">
    <w:name w:val="照片"/>
    <w:basedOn w:val="1"/>
    <w:qFormat/>
    <w:uiPriority w:val="1"/>
    <w:pPr>
      <w:widowControl/>
      <w:spacing w:before="2400" w:after="400" w:line="264" w:lineRule="auto"/>
      <w:jc w:val="center"/>
    </w:pPr>
    <w:rPr>
      <w:color w:val="44546A" w:themeColor="text2"/>
      <w:kern w:val="0"/>
      <w:sz w:val="22"/>
      <w14:textFill>
        <w14:solidFill>
          <w14:schemeClr w14:val="tx2"/>
        </w14:solidFill>
      </w14:textFill>
    </w:rPr>
  </w:style>
  <w:style w:type="character" w:customStyle="1" w:styleId="15">
    <w:name w:val="批注框文本 字符"/>
    <w:basedOn w:val="8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4590</Words>
  <Characters>4597</Characters>
  <Lines>29</Lines>
  <Paragraphs>8</Paragraphs>
  <TotalTime>2</TotalTime>
  <ScaleCrop>false</ScaleCrop>
  <LinksUpToDate>false</LinksUpToDate>
  <CharactersWithSpaces>4597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2024-01-09T05:36:00Z</dcterms:created>
  <dc:creator>Administrator</dc:creator>
  <cp:lastModifiedBy>胡玮</cp:lastModifiedBy>
  <dcterms:modified xsi:type="dcterms:W3CDTF">2025-02-17T16:29:02Z</dcterms:modified>
  <cp:revision>94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ABE8D7650C0642E18C7505BC3414C822_13</vt:lpwstr>
  </property>
  <property fmtid="{D5CDD505-2E9C-101B-9397-08002B2CF9AE}" pid="4" name="KSOTemplateDocerSaveRecord">
    <vt:lpwstr>eyJoZGlkIjoiNGE2OWM4NTQ2MWU0ZjFmZmU0ODIxMjA5NWM0NGVmNGIiLCJ1c2VySWQiOiI3MjIwMjU2MjIifQ==</vt:lpwstr>
  </property>
</Properties>
</file>